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lang w:eastAsia="en-GB"/>
        </w:rPr>
      </w:pPr>
      <w:r>
        <w:rPr>
          <w:rFonts w:ascii="Arial" w:hAnsi="Arial" w:cs="Arial"/>
          <w:b/>
        </w:rPr>
        <w:t>3GPP TSG-SA WG6 Meeting #68</w:t>
      </w:r>
      <w:r>
        <w:rPr>
          <w:rFonts w:ascii="Arial" w:hAnsi="Arial" w:cs="Arial"/>
          <w:b/>
        </w:rPr>
        <w:tab/>
      </w:r>
      <w:r>
        <w:rPr>
          <w:rFonts w:hint="eastAsia" w:ascii="Arial" w:hAnsi="Arial" w:cs="Arial"/>
          <w:b/>
        </w:rPr>
        <w:t>S6-253221</w:t>
      </w:r>
      <w:bookmarkStart w:id="0" w:name="_GoBack"/>
      <w:bookmarkEnd w:id="0"/>
    </w:p>
    <w:p w14:paraId="11C88A41">
      <w:pPr>
        <w:pBdr>
          <w:bottom w:val="single" w:color="auto" w:sz="4" w:space="1"/>
        </w:pBdr>
        <w:tabs>
          <w:tab w:val="right" w:pos="9214"/>
        </w:tabs>
        <w:rPr>
          <w:rFonts w:ascii="Arial" w:hAnsi="Arial" w:cs="Arial"/>
          <w:b/>
        </w:rPr>
      </w:pPr>
      <w:r>
        <w:rPr>
          <w:rFonts w:ascii="Arial" w:hAnsi="Arial" w:cs="Arial"/>
          <w:b/>
        </w:rPr>
        <w:t>Gothenburg, Sweden 25</w:t>
      </w:r>
      <w:r>
        <w:rPr>
          <w:rFonts w:ascii="Arial" w:hAnsi="Arial" w:cs="Arial"/>
          <w:b/>
          <w:vertAlign w:val="superscript"/>
        </w:rPr>
        <w:t>th</w:t>
      </w:r>
      <w:r>
        <w:rPr>
          <w:rFonts w:ascii="Arial" w:hAnsi="Arial" w:cs="Arial"/>
          <w:b/>
        </w:rPr>
        <w:t xml:space="preserve"> – 29</w:t>
      </w:r>
      <w:r>
        <w:rPr>
          <w:rFonts w:ascii="Arial" w:hAnsi="Arial" w:cs="Arial"/>
          <w:b/>
          <w:vertAlign w:val="superscript"/>
        </w:rPr>
        <w:t>th</w:t>
      </w:r>
      <w:r>
        <w:rPr>
          <w:rFonts w:ascii="Arial" w:hAnsi="Arial" w:cs="Arial"/>
          <w:b/>
        </w:rPr>
        <w:t xml:space="preserve"> August 2025</w:t>
      </w:r>
      <w:r>
        <w:rPr>
          <w:rFonts w:ascii="Arial" w:hAnsi="Arial" w:cs="Arial"/>
          <w:b/>
        </w:rPr>
        <w:tab/>
      </w:r>
      <w:r>
        <w:rPr>
          <w:rFonts w:ascii="Arial" w:hAnsi="Arial" w:cs="Arial"/>
          <w:b/>
        </w:rPr>
        <w:t xml:space="preserve">(revision of </w:t>
      </w:r>
      <w:r>
        <w:rPr>
          <w:rFonts w:hint="eastAsia" w:ascii="Arial" w:hAnsi="Arial" w:cs="Arial"/>
          <w:b/>
        </w:rPr>
        <w:t>SP-250875</w:t>
      </w:r>
      <w:r>
        <w:rPr>
          <w:rFonts w:ascii="Arial" w:hAnsi="Arial" w:cs="Arial"/>
          <w:b/>
        </w:rPr>
        <w:t>)</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ZTE</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t>
      </w:r>
      <w:r>
        <w:rPr>
          <w:rFonts w:hint="eastAsia" w:ascii="Arial" w:hAnsi="Arial" w:eastAsia="Batang" w:cs="Arial"/>
          <w:b/>
          <w:sz w:val="24"/>
          <w:szCs w:val="24"/>
          <w:lang w:eastAsia="zh-CN"/>
        </w:rPr>
        <w:t xml:space="preserve">SID on Study on </w:t>
      </w:r>
      <w:r>
        <w:rPr>
          <w:rFonts w:hint="eastAsia" w:ascii="Arial" w:hAnsi="Arial" w:eastAsia="Batang" w:cs="Arial"/>
          <w:b/>
          <w:sz w:val="24"/>
          <w:szCs w:val="24"/>
          <w:lang w:val="en-US" w:eastAsia="zh-CN"/>
        </w:rPr>
        <w:t>u</w:t>
      </w:r>
      <w:r>
        <w:rPr>
          <w:rFonts w:hint="eastAsia" w:ascii="Arial" w:hAnsi="Arial" w:eastAsia="Batang" w:cs="Arial"/>
          <w:b/>
          <w:sz w:val="24"/>
          <w:szCs w:val="24"/>
          <w:lang w:eastAsia="zh-CN"/>
        </w:rPr>
        <w:t xml:space="preserve">tilization of </w:t>
      </w:r>
      <w:r>
        <w:rPr>
          <w:rFonts w:hint="eastAsia" w:ascii="Arial" w:hAnsi="Arial" w:eastAsia="Batang" w:cs="Arial"/>
          <w:b/>
          <w:sz w:val="24"/>
          <w:szCs w:val="24"/>
          <w:lang w:val="en-US" w:eastAsia="zh-CN"/>
        </w:rPr>
        <w:t>s</w:t>
      </w:r>
      <w:r>
        <w:rPr>
          <w:rFonts w:hint="eastAsia" w:ascii="Arial" w:hAnsi="Arial" w:eastAsia="Batang" w:cs="Arial"/>
          <w:b/>
          <w:sz w:val="24"/>
          <w:szCs w:val="24"/>
          <w:lang w:eastAsia="zh-CN"/>
        </w:rPr>
        <w:t xml:space="preserve">ensing </w:t>
      </w:r>
      <w:r>
        <w:rPr>
          <w:rFonts w:hint="eastAsia" w:ascii="Arial" w:hAnsi="Arial" w:eastAsia="Batang" w:cs="Arial"/>
          <w:b/>
          <w:sz w:val="24"/>
          <w:szCs w:val="24"/>
          <w:lang w:val="en-US" w:eastAsia="zh-CN"/>
        </w:rPr>
        <w:t>r</w:t>
      </w:r>
      <w:r>
        <w:rPr>
          <w:rFonts w:hint="eastAsia" w:ascii="Arial" w:hAnsi="Arial" w:eastAsia="Batang" w:cs="Arial"/>
          <w:b/>
          <w:sz w:val="24"/>
          <w:szCs w:val="24"/>
          <w:lang w:eastAsia="zh-CN"/>
        </w:rPr>
        <w:t xml:space="preserve">esults for </w:t>
      </w:r>
      <w:r>
        <w:rPr>
          <w:rFonts w:hint="eastAsia" w:ascii="Arial" w:hAnsi="Arial" w:eastAsia="Batang" w:cs="Arial"/>
          <w:b/>
          <w:sz w:val="24"/>
          <w:szCs w:val="24"/>
          <w:lang w:val="en-US" w:eastAsia="zh-CN"/>
        </w:rPr>
        <w:t>v</w:t>
      </w:r>
      <w:r>
        <w:rPr>
          <w:rFonts w:hint="eastAsia" w:ascii="Arial" w:hAnsi="Arial" w:eastAsia="Batang" w:cs="Arial"/>
          <w:b/>
          <w:sz w:val="24"/>
          <w:szCs w:val="24"/>
          <w:lang w:eastAsia="zh-CN"/>
        </w:rPr>
        <w:t xml:space="preserve">ertical </w:t>
      </w:r>
      <w:r>
        <w:rPr>
          <w:rFonts w:hint="eastAsia" w:ascii="Arial" w:hAnsi="Arial" w:eastAsia="Batang" w:cs="Arial"/>
          <w:b/>
          <w:sz w:val="24"/>
          <w:szCs w:val="24"/>
          <w:lang w:val="en-US" w:eastAsia="zh-CN"/>
        </w:rPr>
        <w:t>a</w:t>
      </w:r>
      <w:r>
        <w:rPr>
          <w:rFonts w:hint="eastAsia" w:ascii="Arial" w:hAnsi="Arial" w:eastAsia="Batang" w:cs="Arial"/>
          <w:b/>
          <w:sz w:val="24"/>
          <w:szCs w:val="24"/>
          <w:lang w:eastAsia="zh-CN"/>
        </w:rPr>
        <w:t>pplications</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12</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Study on use of Sensing results for Vertical Applications</w:t>
      </w:r>
    </w:p>
    <w:p w14:paraId="4E722A81">
      <w:pPr>
        <w:pStyle w:val="26"/>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FS_Sensing_APP</w:t>
      </w:r>
    </w:p>
    <w:p w14:paraId="60E331F2">
      <w:pPr>
        <w:pStyle w:val="26"/>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1080028</w:t>
      </w:r>
    </w:p>
    <w:p w14:paraId="2989BCC8">
      <w:pPr>
        <w:pStyle w:val="26"/>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3B853193">
      <w:pPr>
        <w:pStyle w:val="26"/>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pPr>
            <w:r>
              <w:t>Affects:</w:t>
            </w:r>
          </w:p>
        </w:tc>
        <w:tc>
          <w:tcPr>
            <w:tcW w:w="1275" w:type="dxa"/>
            <w:tcBorders>
              <w:left w:val="nil"/>
              <w:bottom w:val="single" w:color="auto" w:sz="12" w:space="0"/>
            </w:tcBorders>
            <w:shd w:val="clear" w:color="auto" w:fill="E0E0E0"/>
          </w:tcPr>
          <w:p w14:paraId="11679E59">
            <w:pPr>
              <w:pStyle w:val="29"/>
            </w:pPr>
            <w:r>
              <w:t>UICC apps</w:t>
            </w:r>
          </w:p>
        </w:tc>
        <w:tc>
          <w:tcPr>
            <w:tcW w:w="1037" w:type="dxa"/>
            <w:tcBorders>
              <w:bottom w:val="single" w:color="auto" w:sz="12" w:space="0"/>
            </w:tcBorders>
            <w:shd w:val="clear" w:color="auto" w:fill="E0E0E0"/>
          </w:tcPr>
          <w:p w14:paraId="76DC36F7">
            <w:pPr>
              <w:pStyle w:val="29"/>
            </w:pPr>
            <w:r>
              <w:t>ME</w:t>
            </w:r>
          </w:p>
        </w:tc>
        <w:tc>
          <w:tcPr>
            <w:tcW w:w="850" w:type="dxa"/>
            <w:tcBorders>
              <w:bottom w:val="single" w:color="auto" w:sz="12" w:space="0"/>
            </w:tcBorders>
            <w:shd w:val="clear" w:color="auto" w:fill="E0E0E0"/>
          </w:tcPr>
          <w:p w14:paraId="187362FA">
            <w:pPr>
              <w:pStyle w:val="29"/>
            </w:pPr>
            <w:r>
              <w:t>AN</w:t>
            </w:r>
          </w:p>
        </w:tc>
        <w:tc>
          <w:tcPr>
            <w:tcW w:w="851" w:type="dxa"/>
            <w:tcBorders>
              <w:bottom w:val="single" w:color="auto" w:sz="12" w:space="0"/>
            </w:tcBorders>
            <w:shd w:val="clear" w:color="auto" w:fill="E0E0E0"/>
          </w:tcPr>
          <w:p w14:paraId="3D5E59A3">
            <w:pPr>
              <w:pStyle w:val="29"/>
            </w:pPr>
            <w:r>
              <w:t>CN</w:t>
            </w:r>
          </w:p>
        </w:tc>
        <w:tc>
          <w:tcPr>
            <w:tcW w:w="1752" w:type="dxa"/>
            <w:tcBorders>
              <w:bottom w:val="single" w:color="auto" w:sz="12" w:space="0"/>
            </w:tcBorders>
            <w:shd w:val="clear" w:color="auto" w:fill="E0E0E0"/>
          </w:tcPr>
          <w:p w14:paraId="1D0B7AE3">
            <w:pPr>
              <w:pStyle w:val="29"/>
            </w:pPr>
            <w: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pPr>
            <w:r>
              <w:t>Yes</w:t>
            </w:r>
          </w:p>
        </w:tc>
        <w:tc>
          <w:tcPr>
            <w:tcW w:w="1275" w:type="dxa"/>
            <w:tcBorders>
              <w:top w:val="nil"/>
              <w:left w:val="nil"/>
            </w:tcBorders>
          </w:tcPr>
          <w:p w14:paraId="318A3DFD">
            <w:pPr>
              <w:pStyle w:val="30"/>
            </w:pPr>
          </w:p>
        </w:tc>
        <w:tc>
          <w:tcPr>
            <w:tcW w:w="1037" w:type="dxa"/>
            <w:tcBorders>
              <w:top w:val="nil"/>
            </w:tcBorders>
          </w:tcPr>
          <w:p w14:paraId="7EE7D44D">
            <w:pPr>
              <w:pStyle w:val="30"/>
            </w:pPr>
          </w:p>
        </w:tc>
        <w:tc>
          <w:tcPr>
            <w:tcW w:w="850" w:type="dxa"/>
            <w:tcBorders>
              <w:top w:val="nil"/>
            </w:tcBorders>
          </w:tcPr>
          <w:p w14:paraId="3527744F">
            <w:pPr>
              <w:pStyle w:val="30"/>
            </w:pPr>
          </w:p>
        </w:tc>
        <w:tc>
          <w:tcPr>
            <w:tcW w:w="851" w:type="dxa"/>
            <w:tcBorders>
              <w:top w:val="nil"/>
            </w:tcBorders>
          </w:tcPr>
          <w:p w14:paraId="7712A7B2">
            <w:pPr>
              <w:pStyle w:val="30"/>
            </w:pPr>
            <w:r>
              <w:rPr>
                <w:rFonts w:hint="eastAsia"/>
                <w:lang w:eastAsia="zh-CN"/>
              </w:rPr>
              <w:t>X</w:t>
            </w:r>
          </w:p>
        </w:tc>
        <w:tc>
          <w:tcPr>
            <w:tcW w:w="1752" w:type="dxa"/>
            <w:tcBorders>
              <w:top w:val="nil"/>
            </w:tcBorders>
          </w:tcPr>
          <w:p w14:paraId="1915AC2A">
            <w:pPr>
              <w:pStyle w:val="30"/>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pPr>
            <w:r>
              <w:t>No</w:t>
            </w:r>
          </w:p>
        </w:tc>
        <w:tc>
          <w:tcPr>
            <w:tcW w:w="1275" w:type="dxa"/>
            <w:tcBorders>
              <w:left w:val="nil"/>
            </w:tcBorders>
          </w:tcPr>
          <w:p w14:paraId="52F6BFFD">
            <w:pPr>
              <w:pStyle w:val="30"/>
            </w:pPr>
          </w:p>
        </w:tc>
        <w:tc>
          <w:tcPr>
            <w:tcW w:w="1037" w:type="dxa"/>
          </w:tcPr>
          <w:p w14:paraId="1A7F2A25">
            <w:pPr>
              <w:pStyle w:val="30"/>
            </w:pPr>
          </w:p>
        </w:tc>
        <w:tc>
          <w:tcPr>
            <w:tcW w:w="850" w:type="dxa"/>
          </w:tcPr>
          <w:p w14:paraId="3649525F">
            <w:pPr>
              <w:pStyle w:val="30"/>
            </w:pPr>
            <w:r>
              <w:rPr>
                <w:rFonts w:hint="eastAsia"/>
                <w:lang w:eastAsia="zh-CN"/>
              </w:rPr>
              <w:t>X</w:t>
            </w:r>
          </w:p>
        </w:tc>
        <w:tc>
          <w:tcPr>
            <w:tcW w:w="851" w:type="dxa"/>
          </w:tcPr>
          <w:p w14:paraId="6F739866">
            <w:pPr>
              <w:pStyle w:val="30"/>
            </w:pPr>
          </w:p>
        </w:tc>
        <w:tc>
          <w:tcPr>
            <w:tcW w:w="1752" w:type="dxa"/>
          </w:tcPr>
          <w:p w14:paraId="5531BA16">
            <w:pPr>
              <w:pStyle w:val="30"/>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pPr>
            <w:r>
              <w:t>Don't know</w:t>
            </w:r>
          </w:p>
        </w:tc>
        <w:tc>
          <w:tcPr>
            <w:tcW w:w="1275" w:type="dxa"/>
            <w:tcBorders>
              <w:left w:val="nil"/>
            </w:tcBorders>
          </w:tcPr>
          <w:p w14:paraId="5333E700">
            <w:pPr>
              <w:pStyle w:val="30"/>
            </w:pPr>
            <w:r>
              <w:rPr>
                <w:rFonts w:hint="eastAsia"/>
                <w:lang w:eastAsia="zh-CN"/>
              </w:rPr>
              <w:t>X</w:t>
            </w:r>
          </w:p>
        </w:tc>
        <w:tc>
          <w:tcPr>
            <w:tcW w:w="1037" w:type="dxa"/>
          </w:tcPr>
          <w:p w14:paraId="614DF0AA">
            <w:pPr>
              <w:pStyle w:val="30"/>
              <w:rPr>
                <w:rFonts w:eastAsia="宋体"/>
                <w:lang w:val="en-US" w:eastAsia="zh-CN"/>
              </w:rPr>
            </w:pPr>
            <w:r>
              <w:rPr>
                <w:rFonts w:hint="eastAsia" w:eastAsia="宋体"/>
                <w:lang w:val="en-US" w:eastAsia="zh-CN"/>
              </w:rPr>
              <w:t>X</w:t>
            </w:r>
          </w:p>
        </w:tc>
        <w:tc>
          <w:tcPr>
            <w:tcW w:w="850" w:type="dxa"/>
          </w:tcPr>
          <w:p w14:paraId="4175E72E">
            <w:pPr>
              <w:pStyle w:val="30"/>
            </w:pPr>
          </w:p>
        </w:tc>
        <w:tc>
          <w:tcPr>
            <w:tcW w:w="851" w:type="dxa"/>
          </w:tcPr>
          <w:p w14:paraId="1F121E9E">
            <w:pPr>
              <w:pStyle w:val="30"/>
            </w:pPr>
          </w:p>
        </w:tc>
        <w:tc>
          <w:tcPr>
            <w:tcW w:w="1752" w:type="dxa"/>
          </w:tcPr>
          <w:p w14:paraId="7C461E46">
            <w:pPr>
              <w:pStyle w:val="30"/>
            </w:pPr>
            <w:r>
              <w:rPr>
                <w:rFonts w:hint="eastAsia"/>
                <w:lang w:eastAsia="zh-CN"/>
              </w:rPr>
              <w:t>X</w:t>
            </w:r>
          </w:p>
        </w:tc>
      </w:tr>
    </w:tbl>
    <w:p w14:paraId="68EFE45D"/>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6E6201C8">
      <w:pPr>
        <w:pStyle w:val="4"/>
        <w:rPr>
          <w:rFonts w:eastAsia="宋体"/>
          <w:lang w:val="en-US" w:eastAsia="zh-CN"/>
        </w:rPr>
      </w:pPr>
      <w:r>
        <w:t xml:space="preserve">This work item is a </w:t>
      </w:r>
      <w:r>
        <w:rPr>
          <w:rFonts w:hint="eastAsia" w:eastAsia="宋体"/>
          <w:lang w:val="en-US" w:eastAsia="zh-CN"/>
        </w:rPr>
        <w:t>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pPr>
            <w:r>
              <w:rPr>
                <w:rFonts w:hint="eastAsia" w:eastAsia="宋体"/>
                <w:lang w:val="en-US" w:eastAsia="zh-CN"/>
              </w:rPr>
              <w:t>X</w:t>
            </w:r>
          </w:p>
        </w:tc>
        <w:tc>
          <w:tcPr>
            <w:tcW w:w="2917" w:type="dxa"/>
            <w:shd w:val="clear" w:color="auto" w:fill="E0E0E0"/>
          </w:tcPr>
          <w:p w14:paraId="4B86162F">
            <w:pPr>
              <w:pStyle w:val="29"/>
              <w:ind w:right="-99"/>
              <w:jc w:val="left"/>
              <w:rPr>
                <w:b w:val="0"/>
                <w:bCs/>
                <w:color w:val="0000FF"/>
              </w:rPr>
            </w:pPr>
            <w:r>
              <w:rPr>
                <w:b w:val="0"/>
                <w:bCs/>
                <w:color w:val="0000FF"/>
                <w:sz w:val="20"/>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pPr>
          </w:p>
        </w:tc>
        <w:tc>
          <w:tcPr>
            <w:tcW w:w="2917" w:type="dxa"/>
            <w:shd w:val="clear" w:color="auto" w:fill="E0E0E0"/>
          </w:tcPr>
          <w:p w14:paraId="22B96487">
            <w:pPr>
              <w:pStyle w:val="29"/>
              <w:ind w:right="-99"/>
              <w:jc w:val="left"/>
              <w:rPr>
                <w:b w:val="0"/>
                <w:bCs/>
                <w:color w:val="auto"/>
              </w:rPr>
            </w:pPr>
            <w:r>
              <w:rPr>
                <w:b w:val="0"/>
                <w:bCs/>
                <w:color w:val="auto"/>
                <w:sz w:val="20"/>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eastAsia="宋体"/>
                <w:lang w:val="en-US" w:eastAsia="zh-CN"/>
              </w:rPr>
            </w:pPr>
          </w:p>
        </w:tc>
        <w:tc>
          <w:tcPr>
            <w:tcW w:w="2917" w:type="dxa"/>
            <w:shd w:val="clear" w:color="auto" w:fill="E0E0E0"/>
          </w:tcPr>
          <w:p w14:paraId="7F1AC338">
            <w:pPr>
              <w:pStyle w:val="29"/>
              <w:ind w:right="-99"/>
              <w:jc w:val="left"/>
              <w:rPr>
                <w:b w:val="0"/>
                <w:bCs/>
                <w:color w:val="auto"/>
              </w:rPr>
            </w:pPr>
            <w:r>
              <w:rPr>
                <w:b w:val="0"/>
                <w:bCs/>
                <w:color w:val="auto"/>
                <w:sz w:val="20"/>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pPr>
          </w:p>
        </w:tc>
        <w:tc>
          <w:tcPr>
            <w:tcW w:w="2917" w:type="dxa"/>
            <w:shd w:val="clear" w:color="auto" w:fill="E0E0E0"/>
          </w:tcPr>
          <w:p w14:paraId="17AB7AD5">
            <w:pPr>
              <w:pStyle w:val="29"/>
              <w:ind w:right="-99"/>
              <w:jc w:val="left"/>
              <w:rPr>
                <w:b w:val="0"/>
                <w:bCs/>
                <w:color w:val="auto"/>
              </w:rPr>
            </w:pPr>
            <w:r>
              <w:rPr>
                <w:b w:val="0"/>
                <w:bCs/>
                <w:color w:val="auto"/>
                <w:sz w:val="20"/>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pPr>
          </w:p>
        </w:tc>
        <w:tc>
          <w:tcPr>
            <w:tcW w:w="2917" w:type="dxa"/>
            <w:shd w:val="clear" w:color="auto" w:fill="E0E0E0"/>
          </w:tcPr>
          <w:p w14:paraId="27E193CD">
            <w:pPr>
              <w:pStyle w:val="29"/>
              <w:ind w:right="-99"/>
              <w:jc w:val="left"/>
              <w:rPr>
                <w:b w:val="0"/>
                <w:bCs/>
                <w:color w:val="auto"/>
              </w:rPr>
            </w:pPr>
            <w:r>
              <w:rPr>
                <w:b w:val="0"/>
                <w:bCs/>
                <w:color w:val="auto"/>
                <w:sz w:val="20"/>
              </w:rPr>
              <w:t>Normative – Other*</w:t>
            </w:r>
          </w:p>
        </w:tc>
      </w:tr>
    </w:tbl>
    <w:p w14:paraId="6D8775D7">
      <w:pPr>
        <w:ind w:right="-99"/>
        <w:rPr>
          <w:b/>
        </w:rPr>
      </w:pPr>
      <w:r>
        <w:rPr>
          <w:b/>
        </w:rPr>
        <w:t>* Other = e.g. testing</w:t>
      </w:r>
    </w:p>
    <w:p w14:paraId="5F258FF8">
      <w:pPr>
        <w:ind w:right="-99"/>
        <w:rPr>
          <w:b/>
        </w:rPr>
      </w:pPr>
    </w:p>
    <w:p w14:paraId="444C3445">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1A922CBC">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pPr>
            <w: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pPr>
            <w:r>
              <w:t>Acronym</w:t>
            </w:r>
          </w:p>
        </w:tc>
        <w:tc>
          <w:tcPr>
            <w:tcW w:w="1101" w:type="dxa"/>
            <w:shd w:val="clear" w:color="auto" w:fill="E0E0E0"/>
          </w:tcPr>
          <w:p w14:paraId="03FF3281">
            <w:pPr>
              <w:pStyle w:val="29"/>
              <w:ind w:right="-99"/>
              <w:jc w:val="left"/>
            </w:pPr>
            <w:r>
              <w:t>Working Group</w:t>
            </w:r>
          </w:p>
        </w:tc>
        <w:tc>
          <w:tcPr>
            <w:tcW w:w="1101" w:type="dxa"/>
            <w:shd w:val="clear" w:color="auto" w:fill="E0E0E0"/>
          </w:tcPr>
          <w:p w14:paraId="1B69A0D0">
            <w:pPr>
              <w:pStyle w:val="29"/>
              <w:ind w:right="-99"/>
              <w:jc w:val="left"/>
            </w:pPr>
            <w:r>
              <w:t>Unique ID</w:t>
            </w:r>
          </w:p>
        </w:tc>
        <w:tc>
          <w:tcPr>
            <w:tcW w:w="6010" w:type="dxa"/>
            <w:shd w:val="clear" w:color="auto" w:fill="E0E0E0"/>
          </w:tcPr>
          <w:p w14:paraId="06D2A4A2">
            <w:pPr>
              <w:pStyle w:val="29"/>
              <w:ind w:right="-99"/>
              <w:jc w:val="left"/>
            </w:pPr>
            <w: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pPr>
            <w:r>
              <w:rPr>
                <w:rFonts w:hint="eastAsia"/>
              </w:rPr>
              <w:t>Sensing</w:t>
            </w:r>
          </w:p>
        </w:tc>
        <w:tc>
          <w:tcPr>
            <w:tcW w:w="1101" w:type="dxa"/>
          </w:tcPr>
          <w:p w14:paraId="5BFC0745">
            <w:pPr>
              <w:pStyle w:val="28"/>
              <w:rPr>
                <w:rFonts w:eastAsia="宋体"/>
                <w:lang w:val="en-US" w:eastAsia="zh-CN"/>
              </w:rPr>
            </w:pPr>
            <w:r>
              <w:rPr>
                <w:rFonts w:hint="eastAsia" w:eastAsia="宋体"/>
                <w:lang w:val="en-US" w:eastAsia="zh-CN"/>
              </w:rPr>
              <w:t>SA1</w:t>
            </w:r>
          </w:p>
        </w:tc>
        <w:tc>
          <w:tcPr>
            <w:tcW w:w="1101" w:type="dxa"/>
          </w:tcPr>
          <w:p w14:paraId="6B959E8C">
            <w:pPr>
              <w:pStyle w:val="28"/>
            </w:pPr>
            <w:r>
              <w:rPr>
                <w:rFonts w:hint="eastAsia"/>
              </w:rPr>
              <w:t>1000026</w:t>
            </w:r>
          </w:p>
        </w:tc>
        <w:tc>
          <w:tcPr>
            <w:tcW w:w="6010" w:type="dxa"/>
          </w:tcPr>
          <w:p w14:paraId="56CC3226">
            <w:pPr>
              <w:pStyle w:val="28"/>
              <w:rPr>
                <w:rFonts w:eastAsia="宋体"/>
                <w:lang w:val="en-US" w:eastAsia="zh-CN"/>
              </w:rPr>
            </w:pPr>
            <w:r>
              <w:rPr>
                <w:rFonts w:hint="eastAsia" w:eastAsia="宋体"/>
                <w:lang w:val="en-US" w:eastAsia="zh-CN"/>
              </w:rPr>
              <w:t xml:space="preserve">Stage 1 of Integrated Sensing and Communication </w:t>
            </w:r>
          </w:p>
        </w:tc>
      </w:tr>
    </w:tbl>
    <w:p w14:paraId="1CA2810F"/>
    <w:p w14:paraId="261B7999">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pPr>
            <w:r>
              <w:t>Unique ID</w:t>
            </w:r>
          </w:p>
        </w:tc>
        <w:tc>
          <w:tcPr>
            <w:tcW w:w="3326" w:type="dxa"/>
            <w:shd w:val="clear" w:color="auto" w:fill="E0E0E0"/>
          </w:tcPr>
          <w:p w14:paraId="32FDD1A0">
            <w:pPr>
              <w:pStyle w:val="29"/>
            </w:pPr>
            <w:r>
              <w:t>Title</w:t>
            </w:r>
          </w:p>
        </w:tc>
        <w:tc>
          <w:tcPr>
            <w:tcW w:w="5099" w:type="dxa"/>
            <w:shd w:val="clear" w:color="auto" w:fill="E0E0E0"/>
          </w:tcPr>
          <w:p w14:paraId="3113A46E">
            <w:pPr>
              <w:pStyle w:val="29"/>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CB580A">
            <w:pPr>
              <w:pStyle w:val="28"/>
              <w:rPr>
                <w:lang w:eastAsia="zh-CN"/>
              </w:rPr>
            </w:pPr>
            <w:r>
              <w:rPr>
                <w:rFonts w:hint="eastAsia"/>
                <w:lang w:eastAsia="zh-CN"/>
              </w:rPr>
              <w:t>950003</w:t>
            </w:r>
          </w:p>
        </w:tc>
        <w:tc>
          <w:tcPr>
            <w:tcW w:w="3326" w:type="dxa"/>
          </w:tcPr>
          <w:p w14:paraId="6A9AEF94">
            <w:pPr>
              <w:pStyle w:val="28"/>
              <w:rPr>
                <w:lang w:eastAsia="zh-CN"/>
              </w:rPr>
            </w:pPr>
            <w:r>
              <w:rPr>
                <w:rFonts w:hint="eastAsia"/>
                <w:lang w:eastAsia="zh-CN"/>
              </w:rPr>
              <w:t xml:space="preserve">Study on Integrated Sensing and Communication </w:t>
            </w:r>
          </w:p>
        </w:tc>
        <w:tc>
          <w:tcPr>
            <w:tcW w:w="5099" w:type="dxa"/>
          </w:tcPr>
          <w:p w14:paraId="107A3E30">
            <w:pPr>
              <w:pStyle w:val="28"/>
              <w:rPr>
                <w:lang w:eastAsia="zh-CN"/>
              </w:rPr>
            </w:pPr>
            <w:r>
              <w:rPr>
                <w:rFonts w:hint="eastAsia"/>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B46F655">
            <w:pPr>
              <w:pStyle w:val="28"/>
              <w:rPr>
                <w:lang w:eastAsia="zh-CN"/>
              </w:rPr>
            </w:pPr>
          </w:p>
        </w:tc>
        <w:tc>
          <w:tcPr>
            <w:tcW w:w="3326" w:type="dxa"/>
          </w:tcPr>
          <w:p w14:paraId="758E5F64">
            <w:pPr>
              <w:pStyle w:val="28"/>
              <w:rPr>
                <w:lang w:eastAsia="zh-CN"/>
              </w:rPr>
            </w:pPr>
          </w:p>
        </w:tc>
        <w:tc>
          <w:tcPr>
            <w:tcW w:w="5099" w:type="dxa"/>
          </w:tcPr>
          <w:p w14:paraId="14575951">
            <w:pPr>
              <w:pStyle w:val="28"/>
              <w:rPr>
                <w:lang w:eastAsia="zh-CN"/>
              </w:rPr>
            </w:pPr>
          </w:p>
        </w:tc>
      </w:tr>
    </w:tbl>
    <w:p w14:paraId="6F109E7F">
      <w:pPr>
        <w:pStyle w:val="31"/>
      </w:pPr>
    </w:p>
    <w:p w14:paraId="41EE3448">
      <w:pPr>
        <w:rPr>
          <w:b/>
          <w:bCs/>
        </w:rPr>
      </w:pPr>
      <w:r>
        <w:rPr>
          <w:b/>
          <w:bCs/>
        </w:rPr>
        <w:t>Dependency on non-3GPP (draft) specification:</w:t>
      </w:r>
    </w:p>
    <w:p w14:paraId="126E6F39">
      <w:pPr>
        <w:pStyle w:val="26"/>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3BFF872">
      <w:pPr>
        <w:jc w:val="both"/>
        <w:rPr>
          <w:rFonts w:eastAsia="宋体"/>
          <w:lang w:val="en-US" w:eastAsia="zh-CN"/>
        </w:rPr>
      </w:pPr>
      <w:r>
        <w:rPr>
          <w:rFonts w:hint="eastAsia" w:eastAsia="宋体"/>
          <w:lang w:val="en-US" w:eastAsia="zh-CN"/>
        </w:rPr>
        <w:t xml:space="preserve">From Rel-19, 3GPP started to develop </w:t>
      </w:r>
      <w:r>
        <w:rPr>
          <w:lang w:val="en-US" w:eastAsia="ja-JP"/>
        </w:rPr>
        <w:t>5G wireless sensing</w:t>
      </w:r>
      <w:r>
        <w:rPr>
          <w:rFonts w:hint="eastAsia" w:eastAsia="宋体"/>
          <w:lang w:val="en-US" w:eastAsia="zh-CN"/>
        </w:rPr>
        <w:t xml:space="preserve">. 5G </w:t>
      </w:r>
      <w:r>
        <w:rPr>
          <w:lang w:val="en-US" w:eastAsia="ja-JP"/>
        </w:rPr>
        <w:t>wireless sensing</w:t>
      </w:r>
      <w:r>
        <w:rPr>
          <w:rFonts w:hint="eastAsia" w:eastAsia="宋体"/>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hint="eastAsia" w:eastAsia="宋体"/>
          <w:lang w:val="en-US" w:eastAsia="zh-CN"/>
        </w:rPr>
        <w:t xml:space="preserve">. The related service requirements and KPIs are specified in 3GPP TS 22.137. SA1 also </w:t>
      </w:r>
      <w:r>
        <w:rPr>
          <w:rFonts w:eastAsia="宋体"/>
          <w:bCs/>
          <w:color w:val="000000"/>
          <w:lang w:eastAsia="ja-JP"/>
        </w:rPr>
        <w:t xml:space="preserve">studied 32 sensing </w:t>
      </w:r>
      <w:r>
        <w:rPr>
          <w:rFonts w:hint="eastAsia" w:eastAsia="宋体"/>
          <w:bCs/>
          <w:color w:val="000000"/>
          <w:lang w:val="en-US" w:eastAsia="zh-CN"/>
        </w:rPr>
        <w:t xml:space="preserve">related </w:t>
      </w:r>
      <w:r>
        <w:rPr>
          <w:rFonts w:eastAsia="宋体"/>
          <w:bCs/>
          <w:color w:val="000000"/>
          <w:lang w:eastAsia="ja-JP"/>
        </w:rPr>
        <w:t>use cases</w:t>
      </w:r>
      <w:r>
        <w:rPr>
          <w:rFonts w:hint="eastAsia" w:eastAsia="宋体"/>
          <w:lang w:val="en-US" w:eastAsia="zh-CN"/>
        </w:rPr>
        <w:t xml:space="preserve"> in 3GPP TR 22.837 including smart home/city, UAS, </w:t>
      </w:r>
      <w:r>
        <w:rPr>
          <w:rFonts w:hint="eastAsia"/>
        </w:rPr>
        <w:t>traffic management</w:t>
      </w:r>
      <w:r>
        <w:rPr>
          <w:rFonts w:hint="eastAsia" w:eastAsia="宋体"/>
          <w:lang w:val="en-US" w:eastAsia="zh-CN"/>
        </w:rPr>
        <w:t>, etc.</w:t>
      </w:r>
    </w:p>
    <w:p w14:paraId="2149F0AC">
      <w:pPr>
        <w:jc w:val="both"/>
        <w:rPr>
          <w:rFonts w:eastAsia="宋体"/>
          <w:lang w:val="en-US" w:eastAsia="zh-CN"/>
        </w:rPr>
      </w:pPr>
    </w:p>
    <w:p w14:paraId="39B3FBF3">
      <w:pPr>
        <w:jc w:val="both"/>
        <w:rPr>
          <w:rFonts w:eastAsia="宋体"/>
          <w:lang w:val="en-US" w:eastAsia="zh-CN"/>
        </w:rPr>
      </w:pPr>
      <w:r>
        <w:rPr>
          <w:rFonts w:hint="eastAsia" w:eastAsia="宋体"/>
          <w:lang w:val="en-US" w:eastAsia="zh-CN"/>
        </w:rPr>
        <w:t>During SA#107, it was agreed to start the SA2 study on</w:t>
      </w:r>
      <w:r>
        <w:t xml:space="preserve"> the </w:t>
      </w:r>
      <w:r>
        <w:rPr>
          <w:rFonts w:hint="eastAsia" w:eastAsia="宋体"/>
          <w:lang w:val="en-US" w:eastAsia="zh-CN"/>
        </w:rPr>
        <w:t xml:space="preserve">system </w:t>
      </w:r>
      <w:r>
        <w:t>enhancement</w:t>
      </w:r>
      <w:r>
        <w:rPr>
          <w:rFonts w:hint="eastAsia" w:eastAsia="宋体"/>
          <w:lang w:val="en-US" w:eastAsia="zh-CN"/>
        </w:rPr>
        <w:t>s</w:t>
      </w:r>
      <w:r>
        <w:t>, end</w:t>
      </w:r>
      <w:r>
        <w:rPr>
          <w:rFonts w:hint="eastAsia" w:eastAsia="宋体"/>
          <w:lang w:val="en-US" w:eastAsia="zh-CN"/>
        </w:rPr>
        <w:t>-</w:t>
      </w:r>
      <w:r>
        <w:t>to</w:t>
      </w:r>
      <w:r>
        <w:rPr>
          <w:rFonts w:hint="eastAsia" w:eastAsia="宋体"/>
          <w:lang w:val="en-US" w:eastAsia="zh-CN"/>
        </w:rPr>
        <w:t>-</w:t>
      </w:r>
      <w:r>
        <w:t>end service operations and procedures to support Integrated Sensing and Communication with the considerations of a sub-set of use cases (e.g. commercial, automotive, public safety and emergency services) based on</w:t>
      </w:r>
      <w:r>
        <w:rPr>
          <w:rFonts w:hint="eastAsia" w:eastAsia="宋体"/>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eastAsia="宋体"/>
          <w:lang w:val="en-US" w:eastAsia="zh-CN"/>
        </w:rPr>
        <w:t>’</w:t>
      </w:r>
      <w:r>
        <w:rPr>
          <w:rFonts w:hint="eastAsia" w:eastAsia="宋体"/>
          <w:lang w:val="en-US" w:eastAsia="zh-CN"/>
        </w:rPr>
        <w:t>s SI.</w:t>
      </w:r>
    </w:p>
    <w:p w14:paraId="30960A70">
      <w:pPr>
        <w:jc w:val="both"/>
        <w:rPr>
          <w:rFonts w:eastAsia="宋体"/>
          <w:lang w:val="en-US" w:eastAsia="zh-CN"/>
        </w:rPr>
      </w:pPr>
    </w:p>
    <w:p w14:paraId="21F59DBF">
      <w:pPr>
        <w:jc w:val="both"/>
        <w:rPr>
          <w:rFonts w:eastAsia="宋体"/>
          <w:lang w:val="en-US" w:eastAsia="zh-CN"/>
        </w:rPr>
      </w:pPr>
      <w:r>
        <w:rPr>
          <w:rFonts w:hint="eastAsia" w:eastAsia="宋体"/>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hint="eastAsia" w:eastAsiaTheme="minorEastAsia"/>
          <w:lang w:val="en-US" w:eastAsia="zh-CN"/>
        </w:rPr>
        <w:t>e</w:t>
      </w:r>
      <w:r>
        <w:rPr>
          <w:rFonts w:hint="eastAsia" w:eastAsiaTheme="minorEastAsia"/>
          <w:lang w:eastAsia="zh-CN"/>
        </w:rPr>
        <w:t>.g., by covering more use cases, such as detect</w:t>
      </w:r>
      <w:r>
        <w:rPr>
          <w:rFonts w:hint="eastAsia" w:eastAsiaTheme="minorEastAsia"/>
          <w:lang w:val="en-US" w:eastAsia="zh-CN"/>
        </w:rPr>
        <w:t>ing</w:t>
      </w:r>
      <w:r>
        <w:rPr>
          <w:rFonts w:hint="eastAsia" w:eastAsiaTheme="minorEastAsia"/>
          <w:lang w:eastAsia="zh-CN"/>
        </w:rPr>
        <w:t xml:space="preserve"> (and potentially predict</w:t>
      </w:r>
      <w:r>
        <w:rPr>
          <w:rFonts w:hint="eastAsia" w:eastAsiaTheme="minorEastAsia"/>
          <w:lang w:val="en-US" w:eastAsia="zh-CN"/>
        </w:rPr>
        <w:t>ing</w:t>
      </w:r>
      <w:r>
        <w:rPr>
          <w:rFonts w:hint="eastAsia" w:eastAsiaTheme="minorEastAsia"/>
          <w:lang w:eastAsia="zh-CN"/>
        </w:rPr>
        <w:t>) the position and trajectory of objects</w:t>
      </w:r>
      <w:r>
        <w:rPr>
          <w:rFonts w:hint="eastAsia" w:eastAsiaTheme="minorEastAsia"/>
          <w:lang w:val="en-US" w:eastAsia="zh-CN"/>
        </w:rPr>
        <w:t xml:space="preserve"> which are not connected to 3GPP network. P</w:t>
      </w:r>
      <w:r>
        <w:rPr>
          <w:rFonts w:hint="eastAsia" w:eastAsiaTheme="minorEastAsia"/>
          <w:lang w:eastAsia="zh-CN"/>
        </w:rPr>
        <w:t>rovid</w:t>
      </w:r>
      <w:r>
        <w:rPr>
          <w:rFonts w:hint="eastAsia" w:eastAsiaTheme="minorEastAsia"/>
          <w:lang w:val="en-US" w:eastAsia="zh-CN"/>
        </w:rPr>
        <w:t xml:space="preserve">ing such </w:t>
      </w:r>
      <w:r>
        <w:rPr>
          <w:rFonts w:hint="eastAsia" w:eastAsiaTheme="minorEastAsia"/>
          <w:lang w:eastAsia="zh-CN"/>
        </w:rPr>
        <w:t>informati</w:t>
      </w:r>
      <w:r>
        <w:rPr>
          <w:rFonts w:hint="eastAsia" w:eastAsia="宋体"/>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pPr>
        <w:jc w:val="both"/>
        <w:rPr>
          <w:rFonts w:eastAsia="宋体"/>
          <w:lang w:val="en-US" w:eastAsia="zh-CN"/>
        </w:rPr>
      </w:pPr>
    </w:p>
    <w:p w14:paraId="0D0290EF">
      <w:pPr>
        <w:jc w:val="both"/>
        <w:rPr>
          <w:rFonts w:eastAsia="宋体"/>
          <w:lang w:val="en-US" w:eastAsia="zh-CN"/>
        </w:rPr>
      </w:pPr>
      <w:r>
        <w:rPr>
          <w:rFonts w:hint="eastAsia" w:eastAsia="宋体"/>
          <w:lang w:val="en-US" w:eastAsia="zh-CN"/>
        </w:rPr>
        <w:t>Therefore, it is necessary to study how to utilize the sensing results and integrate them to existing SA6 vertical application enablement services</w:t>
      </w:r>
      <w:r>
        <w:rPr>
          <w:rFonts w:hint="eastAsia"/>
          <w:lang w:val="en-US" w:eastAsia="zh-CN"/>
        </w:rPr>
        <w:t xml:space="preserve">, as well as potential new SA6 </w:t>
      </w:r>
      <w:r>
        <w:rPr>
          <w:rFonts w:hint="eastAsia" w:eastAsia="宋体"/>
          <w:lang w:val="en-US" w:eastAsia="zh-CN"/>
        </w:rPr>
        <w:t xml:space="preserve">vertical applications that may benefit from such </w:t>
      </w:r>
      <w:r>
        <w:rPr>
          <w:rFonts w:hint="eastAsia"/>
          <w:lang w:val="en-US" w:eastAsia="zh-CN"/>
        </w:rPr>
        <w:t>s</w:t>
      </w:r>
      <w:r>
        <w:rPr>
          <w:rFonts w:hint="eastAsia" w:eastAsia="宋体"/>
          <w:lang w:val="en-US" w:eastAsia="zh-CN"/>
        </w:rPr>
        <w:t>ensing results.</w:t>
      </w:r>
    </w:p>
    <w:p w14:paraId="191150BA">
      <w:pPr>
        <w:rPr>
          <w:lang w:val="en-US" w:eastAsia="zh-CN"/>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B49CEDB">
      <w:pPr>
        <w:rPr>
          <w:lang w:val="en-US" w:eastAsia="zh-CN"/>
        </w:rPr>
      </w:pPr>
      <w:r>
        <w:rPr>
          <w:rFonts w:hint="eastAsia"/>
          <w:lang w:val="en-US" w:eastAsia="zh-CN"/>
        </w:rPr>
        <w:t>The SA6 objectives for this study item on use of sensing results for vertical applications shall include:</w:t>
      </w:r>
    </w:p>
    <w:p w14:paraId="705BC592">
      <w:pPr>
        <w:rPr>
          <w:lang w:val="en-US" w:eastAsia="zh-CN"/>
        </w:rPr>
      </w:pPr>
    </w:p>
    <w:p w14:paraId="75F428CB">
      <w:pPr>
        <w:pStyle w:val="34"/>
        <w:rPr>
          <w:lang w:val="en-US" w:eastAsia="zh-CN"/>
        </w:rPr>
      </w:pPr>
      <w:r>
        <w:rPr>
          <w:rFonts w:hint="eastAsia"/>
          <w:lang w:val="en-US" w:eastAsia="zh-CN"/>
        </w:rPr>
        <w:t>a)</w:t>
      </w:r>
      <w:r>
        <w:rPr>
          <w:rFonts w:hint="eastAsia"/>
          <w:lang w:val="en-US" w:eastAsia="zh-CN"/>
        </w:rPr>
        <w:tab/>
      </w:r>
      <w:r>
        <w:rPr>
          <w:rFonts w:hint="eastAsia"/>
          <w:lang w:val="en-US" w:eastAsia="zh-CN"/>
        </w:rPr>
        <w:t>Analysis of SA1 use cases associated with Sensing and identify potential enhancements to SA6 application enablement services (e.g., 3GPP TS 23.255, 3GPP TS 23.286, 3GPP TS 23.437) by utilizing Sensing results;</w:t>
      </w:r>
    </w:p>
    <w:p w14:paraId="715680BF">
      <w:pPr>
        <w:pStyle w:val="34"/>
        <w:rPr>
          <w:lang w:val="en-US" w:eastAsia="zh-CN"/>
        </w:rPr>
      </w:pPr>
    </w:p>
    <w:p w14:paraId="4C0C3A67">
      <w:pPr>
        <w:pStyle w:val="34"/>
        <w:rPr>
          <w:lang w:val="en-US" w:eastAsia="zh-CN"/>
        </w:rPr>
      </w:pPr>
      <w:r>
        <w:rPr>
          <w:rFonts w:hint="eastAsia"/>
          <w:lang w:val="en-US" w:eastAsia="zh-CN"/>
        </w:rPr>
        <w:t>b)</w:t>
      </w:r>
      <w:r>
        <w:rPr>
          <w:rFonts w:hint="eastAsia"/>
          <w:lang w:val="en-US" w:eastAsia="zh-CN"/>
        </w:rPr>
        <w:tab/>
      </w:r>
      <w:r>
        <w:rPr>
          <w:rFonts w:hint="eastAsia"/>
          <w:lang w:val="en-US" w:eastAsia="zh-CN"/>
        </w:rPr>
        <w:t>Define architectural requirements for the potential application enablement architecture enhancements identified in a);</w:t>
      </w:r>
    </w:p>
    <w:p w14:paraId="4415D089">
      <w:pPr>
        <w:pStyle w:val="34"/>
        <w:rPr>
          <w:lang w:val="en-US" w:eastAsia="zh-CN"/>
        </w:rPr>
      </w:pPr>
    </w:p>
    <w:p w14:paraId="6BF3D357">
      <w:pPr>
        <w:pStyle w:val="34"/>
        <w:rPr>
          <w:rFonts w:eastAsia="宋体"/>
          <w:lang w:val="en-US" w:eastAsia="zh-CN"/>
        </w:rPr>
      </w:pPr>
      <w:r>
        <w:rPr>
          <w:rFonts w:hint="eastAsia"/>
          <w:lang w:val="en-US" w:eastAsia="zh-CN"/>
        </w:rPr>
        <w:t>c)</w:t>
      </w:r>
      <w:r>
        <w:rPr>
          <w:rFonts w:hint="eastAsia"/>
          <w:lang w:val="en-US" w:eastAsia="zh-CN"/>
        </w:rPr>
        <w:tab/>
      </w:r>
      <w:r>
        <w:rPr>
          <w:rFonts w:hint="eastAsia" w:eastAsia="宋体"/>
          <w:lang w:val="en-US" w:eastAsia="zh-CN"/>
        </w:rPr>
        <w:t>Develop procedures and information flows for the identified enhancements.</w:t>
      </w:r>
    </w:p>
    <w:p w14:paraId="7F944B32">
      <w:pPr>
        <w:pStyle w:val="34"/>
        <w:rPr>
          <w:rFonts w:eastAsia="宋体"/>
          <w:lang w:val="en-US" w:eastAsia="zh-CN"/>
        </w:rPr>
      </w:pPr>
    </w:p>
    <w:p w14:paraId="01F0012B">
      <w:pPr>
        <w:pStyle w:val="35"/>
        <w:rPr>
          <w:rFonts w:eastAsia="宋体"/>
          <w:lang w:val="en-US" w:eastAsia="zh-CN"/>
        </w:rPr>
      </w:pPr>
      <w:r>
        <w:rPr>
          <w:rFonts w:hint="eastAsia"/>
          <w:lang w:val="en-US" w:eastAsia="zh-CN"/>
        </w:rPr>
        <w:t>NOTE 1:</w:t>
      </w:r>
      <w:r>
        <w:rPr>
          <w:rFonts w:hint="eastAsia"/>
          <w:lang w:val="en-US" w:eastAsia="zh-CN"/>
        </w:rPr>
        <w:tab/>
      </w:r>
      <w:r>
        <w:rPr>
          <w:rFonts w:hint="eastAsia"/>
          <w:lang w:val="en-US" w:eastAsia="zh-CN"/>
        </w:rPr>
        <w:t>This study does not impact the sensing architecture developed by SA2.</w:t>
      </w:r>
    </w:p>
    <w:p w14:paraId="59A481B1">
      <w:pPr>
        <w:pStyle w:val="35"/>
        <w:rPr>
          <w:lang w:val="en-US" w:eastAsia="zh-CN"/>
        </w:rPr>
      </w:pPr>
      <w:r>
        <w:rPr>
          <w:rFonts w:hint="eastAsia"/>
          <w:lang w:val="en-US" w:eastAsia="zh-CN"/>
        </w:rPr>
        <w:t>NOTE 2:</w:t>
      </w:r>
      <w:r>
        <w:rPr>
          <w:rFonts w:hint="eastAsia"/>
          <w:lang w:val="en-US" w:eastAsia="zh-CN"/>
        </w:rPr>
        <w:tab/>
      </w:r>
      <w:r>
        <w:rPr>
          <w:rFonts w:hint="eastAsia"/>
          <w:lang w:val="en-US" w:eastAsia="zh-CN"/>
        </w:rPr>
        <w:t>How to get sensing results from Core Network will be based on the SA2 conclusions.</w:t>
      </w:r>
    </w:p>
    <w:p w14:paraId="3A3A3A6F">
      <w:pPr>
        <w:pStyle w:val="34"/>
        <w:rPr>
          <w:rFonts w:eastAsia="宋体"/>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101A2B7A"/>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496"/>
        <w:gridCol w:w="2409"/>
        <w:gridCol w:w="993"/>
        <w:gridCol w:w="1042"/>
        <w:gridCol w:w="2218"/>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pPr>
            <w: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5" w:type="dxa"/>
            <w:shd w:val="clear" w:color="auto" w:fill="D9D9D9"/>
            <w:tcMar>
              <w:left w:w="57" w:type="dxa"/>
              <w:right w:w="57" w:type="dxa"/>
            </w:tcMar>
          </w:tcPr>
          <w:p w14:paraId="26A8F94B">
            <w:pPr>
              <w:pStyle w:val="29"/>
            </w:pPr>
            <w:r>
              <w:t xml:space="preserve">Type </w:t>
            </w:r>
          </w:p>
        </w:tc>
        <w:tc>
          <w:tcPr>
            <w:tcW w:w="1496" w:type="dxa"/>
            <w:shd w:val="clear" w:color="auto" w:fill="D9D9D9"/>
            <w:tcMar>
              <w:left w:w="57" w:type="dxa"/>
              <w:right w:w="57" w:type="dxa"/>
            </w:tcMar>
          </w:tcPr>
          <w:p w14:paraId="171A6404">
            <w:pPr>
              <w:pStyle w:val="29"/>
            </w:pPr>
            <w:r>
              <w:t>TS/TR number</w:t>
            </w:r>
          </w:p>
        </w:tc>
        <w:tc>
          <w:tcPr>
            <w:tcW w:w="2409" w:type="dxa"/>
            <w:shd w:val="clear" w:color="auto" w:fill="D9D9D9"/>
            <w:tcMar>
              <w:left w:w="57" w:type="dxa"/>
              <w:right w:w="57" w:type="dxa"/>
            </w:tcMar>
          </w:tcPr>
          <w:p w14:paraId="35A7979C">
            <w:pPr>
              <w:pStyle w:val="29"/>
            </w:pPr>
            <w:r>
              <w:t>Title</w:t>
            </w:r>
          </w:p>
        </w:tc>
        <w:tc>
          <w:tcPr>
            <w:tcW w:w="993" w:type="dxa"/>
            <w:shd w:val="clear" w:color="auto" w:fill="D9D9D9"/>
            <w:tcMar>
              <w:left w:w="57" w:type="dxa"/>
              <w:right w:w="57" w:type="dxa"/>
            </w:tcMar>
          </w:tcPr>
          <w:p w14:paraId="4C9CD6C1">
            <w:pPr>
              <w:pStyle w:val="29"/>
            </w:pPr>
            <w:r>
              <w:t xml:space="preserve">For info </w:t>
            </w:r>
            <w:r>
              <w:br w:type="textWrapping"/>
            </w:r>
            <w:r>
              <w:t xml:space="preserve">at TSG# </w:t>
            </w:r>
          </w:p>
        </w:tc>
        <w:tc>
          <w:tcPr>
            <w:tcW w:w="1042" w:type="dxa"/>
            <w:shd w:val="clear" w:color="auto" w:fill="D9D9D9"/>
            <w:tcMar>
              <w:left w:w="57" w:type="dxa"/>
              <w:right w:w="57" w:type="dxa"/>
            </w:tcMar>
          </w:tcPr>
          <w:p w14:paraId="75A58A3D">
            <w:pPr>
              <w:pStyle w:val="29"/>
            </w:pPr>
            <w:r>
              <w:t>For approval at TSG#</w:t>
            </w:r>
          </w:p>
        </w:tc>
        <w:tc>
          <w:tcPr>
            <w:tcW w:w="2218" w:type="dxa"/>
            <w:shd w:val="clear" w:color="auto" w:fill="D9D9D9"/>
            <w:tcMar>
              <w:left w:w="57" w:type="dxa"/>
              <w:right w:w="57" w:type="dxa"/>
            </w:tcMar>
          </w:tcPr>
          <w:p w14:paraId="4E5AB7D1">
            <w:pPr>
              <w:pStyle w:val="29"/>
            </w:pPr>
            <w: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55" w:type="dxa"/>
            <w:shd w:val="clear" w:color="auto" w:fill="auto"/>
          </w:tcPr>
          <w:p w14:paraId="31008332">
            <w:pPr>
              <w:rPr>
                <w:lang w:val="en-US" w:eastAsia="zh-CN"/>
              </w:rPr>
            </w:pPr>
            <w:r>
              <w:t>Internal TR</w:t>
            </w:r>
          </w:p>
        </w:tc>
        <w:tc>
          <w:tcPr>
            <w:tcW w:w="1496" w:type="dxa"/>
            <w:shd w:val="clear" w:color="auto" w:fill="auto"/>
          </w:tcPr>
          <w:p w14:paraId="35D6816B">
            <w:pPr>
              <w:rPr>
                <w:rFonts w:eastAsia="Malgun Gothic"/>
                <w:lang w:val="en-US" w:eastAsia="zh-CN"/>
              </w:rPr>
            </w:pPr>
            <w:r>
              <w:rPr>
                <w:rFonts w:eastAsia="Malgun Gothic"/>
              </w:rPr>
              <w:t>23.</w:t>
            </w:r>
            <w:r>
              <w:rPr>
                <w:rFonts w:hint="eastAsia" w:eastAsia="宋体"/>
                <w:lang w:val="en-US" w:eastAsia="zh-CN"/>
              </w:rPr>
              <w:t>700-</w:t>
            </w:r>
            <w:r>
              <w:rPr>
                <w:rFonts w:eastAsia="宋体"/>
                <w:lang w:val="en-US" w:eastAsia="zh-CN"/>
              </w:rPr>
              <w:t>15</w:t>
            </w:r>
          </w:p>
        </w:tc>
        <w:tc>
          <w:tcPr>
            <w:tcW w:w="2409" w:type="dxa"/>
            <w:shd w:val="clear" w:color="auto" w:fill="auto"/>
          </w:tcPr>
          <w:p w14:paraId="33839EC5">
            <w:pPr>
              <w:rPr>
                <w:rFonts w:eastAsia="Malgun Gothic"/>
                <w:i/>
                <w:iCs/>
              </w:rPr>
            </w:pPr>
            <w:r>
              <w:rPr>
                <w:rFonts w:hint="eastAsia" w:eastAsia="Malgun Gothic"/>
                <w:i/>
                <w:iCs/>
              </w:rPr>
              <w:t xml:space="preserve">Study on </w:t>
            </w:r>
            <w:r>
              <w:rPr>
                <w:rFonts w:hint="eastAsia" w:eastAsia="宋体"/>
                <w:i/>
                <w:iCs/>
                <w:lang w:val="en-US" w:eastAsia="zh-CN"/>
              </w:rPr>
              <w:t>Use</w:t>
            </w:r>
            <w:r>
              <w:rPr>
                <w:rFonts w:hint="eastAsia" w:eastAsia="Malgun Gothic"/>
                <w:i/>
                <w:iCs/>
              </w:rPr>
              <w:t xml:space="preserve"> of </w:t>
            </w:r>
            <w:r>
              <w:rPr>
                <w:rFonts w:hint="eastAsia" w:eastAsia="宋体"/>
                <w:i/>
                <w:iCs/>
                <w:lang w:val="en-US" w:eastAsia="zh-CN"/>
              </w:rPr>
              <w:t>s</w:t>
            </w:r>
            <w:r>
              <w:rPr>
                <w:rFonts w:hint="eastAsia" w:eastAsia="Malgun Gothic"/>
                <w:i/>
                <w:iCs/>
              </w:rPr>
              <w:t xml:space="preserve">ensing </w:t>
            </w:r>
            <w:r>
              <w:rPr>
                <w:rFonts w:hint="eastAsia" w:eastAsia="宋体"/>
                <w:i/>
                <w:iCs/>
                <w:lang w:val="en-US" w:eastAsia="zh-CN"/>
              </w:rPr>
              <w:t>r</w:t>
            </w:r>
            <w:r>
              <w:rPr>
                <w:rFonts w:hint="eastAsia" w:eastAsia="Malgun Gothic"/>
                <w:i/>
                <w:iCs/>
              </w:rPr>
              <w:t xml:space="preserve">esults for </w:t>
            </w:r>
            <w:r>
              <w:rPr>
                <w:rFonts w:hint="eastAsia" w:eastAsia="宋体"/>
                <w:i/>
                <w:iCs/>
                <w:lang w:val="en-US" w:eastAsia="zh-CN"/>
              </w:rPr>
              <w:t>V</w:t>
            </w:r>
            <w:r>
              <w:rPr>
                <w:rFonts w:hint="eastAsia" w:eastAsia="Malgun Gothic"/>
                <w:i/>
                <w:iCs/>
              </w:rPr>
              <w:t xml:space="preserve">ertical </w:t>
            </w:r>
            <w:r>
              <w:rPr>
                <w:rFonts w:hint="eastAsia" w:eastAsia="宋体"/>
                <w:i/>
                <w:iCs/>
                <w:lang w:val="en-US" w:eastAsia="zh-CN"/>
              </w:rPr>
              <w:t>A</w:t>
            </w:r>
            <w:r>
              <w:rPr>
                <w:rFonts w:hint="eastAsia" w:eastAsia="Malgun Gothic"/>
                <w:i/>
                <w:iCs/>
              </w:rPr>
              <w:t>pplications</w:t>
            </w:r>
          </w:p>
        </w:tc>
        <w:tc>
          <w:tcPr>
            <w:tcW w:w="993" w:type="dxa"/>
          </w:tcPr>
          <w:p w14:paraId="1CFC36A7">
            <w:pPr>
              <w:rPr>
                <w:lang w:val="en-US" w:eastAsia="zh-CN"/>
              </w:rPr>
            </w:pPr>
            <w:r>
              <w:rPr>
                <w:lang w:eastAsia="zh-CN"/>
              </w:rPr>
              <w:t>SA#</w:t>
            </w:r>
            <w:r>
              <w:rPr>
                <w:rFonts w:hint="eastAsia"/>
                <w:lang w:val="en-US" w:eastAsia="zh-CN"/>
              </w:rPr>
              <w:t>110</w:t>
            </w:r>
          </w:p>
          <w:p w14:paraId="39E9970C">
            <w:pPr>
              <w:rPr>
                <w:lang w:val="en-US" w:eastAsia="zh-CN"/>
              </w:rPr>
            </w:pPr>
            <w:r>
              <w:rPr>
                <w:rFonts w:hint="eastAsia"/>
                <w:lang w:eastAsia="zh-CN"/>
              </w:rPr>
              <w:t>(</w:t>
            </w:r>
            <w:r>
              <w:rPr>
                <w:rFonts w:hint="eastAsia"/>
                <w:lang w:val="en-US" w:eastAsia="zh-CN"/>
              </w:rPr>
              <w:t>Dec 2025</w:t>
            </w:r>
            <w:r>
              <w:rPr>
                <w:rFonts w:hint="eastAsia"/>
                <w:lang w:eastAsia="zh-CN"/>
              </w:rPr>
              <w:t>)</w:t>
            </w:r>
          </w:p>
        </w:tc>
        <w:tc>
          <w:tcPr>
            <w:tcW w:w="1042" w:type="dxa"/>
          </w:tcPr>
          <w:p w14:paraId="2B575619">
            <w:pPr>
              <w:rPr>
                <w:lang w:val="en-US" w:eastAsia="zh-CN"/>
              </w:rPr>
            </w:pPr>
            <w:r>
              <w:rPr>
                <w:lang w:eastAsia="zh-CN"/>
              </w:rPr>
              <w:t>SA#</w:t>
            </w:r>
            <w:r>
              <w:rPr>
                <w:rFonts w:hint="eastAsia"/>
                <w:lang w:val="en-US" w:eastAsia="zh-CN"/>
              </w:rPr>
              <w:t>111</w:t>
            </w:r>
          </w:p>
          <w:p w14:paraId="0045EB2D">
            <w:pPr>
              <w:rPr>
                <w:lang w:val="en-US" w:eastAsia="zh-CN"/>
              </w:rPr>
            </w:pPr>
            <w:r>
              <w:rPr>
                <w:rFonts w:hint="eastAsia"/>
                <w:lang w:eastAsia="zh-CN"/>
              </w:rPr>
              <w:t>(</w:t>
            </w:r>
            <w:r>
              <w:rPr>
                <w:rFonts w:hint="eastAsia"/>
                <w:lang w:val="en-US" w:eastAsia="zh-CN"/>
              </w:rPr>
              <w:t>Mar 2026</w:t>
            </w:r>
            <w:r>
              <w:rPr>
                <w:rFonts w:hint="eastAsia"/>
                <w:lang w:eastAsia="zh-CN"/>
              </w:rPr>
              <w:t>)</w:t>
            </w:r>
          </w:p>
        </w:tc>
        <w:tc>
          <w:tcPr>
            <w:tcW w:w="2218" w:type="dxa"/>
          </w:tcPr>
          <w:p w14:paraId="114DBE2D">
            <w:pPr>
              <w:rPr>
                <w:rFonts w:eastAsiaTheme="minorEastAsia"/>
              </w:rPr>
            </w:pPr>
            <w:del w:id="0" w:author="LiuYue250701" w:date="2025-07-15T21:08:58Z">
              <w:r>
                <w:rPr>
                  <w:rFonts w:hint="default"/>
                  <w:lang w:val="en-US" w:eastAsia="zh-CN"/>
                </w:rPr>
                <w:delText>Yang Li</w:delText>
              </w:r>
            </w:del>
            <w:ins w:id="1" w:author="LiuYue250701" w:date="2025-07-15T21:08:58Z">
              <w:r>
                <w:rPr>
                  <w:rFonts w:hint="eastAsia"/>
                  <w:lang w:val="en-US" w:eastAsia="zh-CN"/>
                </w:rPr>
                <w:t>We</w:t>
              </w:r>
            </w:ins>
            <w:ins w:id="2" w:author="LiuYue250701" w:date="2025-07-15T21:08:59Z">
              <w:r>
                <w:rPr>
                  <w:rFonts w:hint="eastAsia"/>
                  <w:lang w:val="en-US" w:eastAsia="zh-CN"/>
                </w:rPr>
                <w:t>i L</w:t>
              </w:r>
            </w:ins>
            <w:ins w:id="3" w:author="LiuYue250701" w:date="2025-07-15T21:09:00Z">
              <w:r>
                <w:rPr>
                  <w:rFonts w:hint="eastAsia"/>
                  <w:lang w:val="en-US" w:eastAsia="zh-CN"/>
                </w:rPr>
                <w:t>uo</w:t>
              </w:r>
            </w:ins>
            <w:r>
              <w:rPr>
                <w:rFonts w:hint="eastAsia"/>
                <w:lang w:val="en-US" w:eastAsia="zh-CN"/>
              </w:rPr>
              <w:t xml:space="preserve">, ZTE Corporation, </w:t>
            </w:r>
            <w:ins w:id="4" w:author="LiuYue250701" w:date="2025-07-15T21:08:43Z">
              <w:r>
                <w:rPr>
                  <w:rFonts w:hint="eastAsia"/>
                </w:rPr>
                <w:t>luo.wei11@zte.com.cn</w:t>
              </w:r>
            </w:ins>
            <w:del w:id="5" w:author="LiuYue250701" w:date="2025-07-15T21:08:43Z">
              <w:r>
                <w:rPr/>
                <w:fldChar w:fldCharType="begin"/>
              </w:r>
            </w:del>
            <w:del w:id="6" w:author="LiuYue250701" w:date="2025-07-15T21:08:43Z">
              <w:r>
                <w:rPr/>
                <w:delInstrText xml:space="preserve"> HYPERLINK "mailto:li.yang1226@zte.com.cn" </w:delInstrText>
              </w:r>
            </w:del>
            <w:del w:id="7" w:author="LiuYue250701" w:date="2025-07-15T21:08:43Z">
              <w:r>
                <w:rPr/>
                <w:fldChar w:fldCharType="separate"/>
              </w:r>
            </w:del>
            <w:del w:id="8" w:author="LiuYue250701" w:date="2025-07-15T21:08:43Z">
              <w:r>
                <w:rPr>
                  <w:rStyle w:val="19"/>
                  <w:rFonts w:hint="eastAsia"/>
                  <w:lang w:val="en-US" w:eastAsia="zh-CN"/>
                </w:rPr>
                <w:delText>li.yang1226@zte.com.cn</w:delText>
              </w:r>
            </w:del>
            <w:del w:id="9" w:author="LiuYue250701" w:date="2025-07-15T21:08:43Z">
              <w:r>
                <w:rPr>
                  <w:rStyle w:val="19"/>
                  <w:rFonts w:hint="eastAsia"/>
                  <w:lang w:val="en-US" w:eastAsia="zh-CN"/>
                </w:rPr>
                <w:fldChar w:fldCharType="end"/>
              </w:r>
            </w:del>
          </w:p>
        </w:tc>
      </w:tr>
    </w:tbl>
    <w:p w14:paraId="601B52E5">
      <w:pPr>
        <w:pStyle w:val="31"/>
      </w:pPr>
    </w:p>
    <w:p w14:paraId="349A618D"/>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pPr>
            <w: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pPr>
            <w: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0E57969">
            <w:pPr>
              <w:rPr>
                <w:rFonts w:eastAsia="宋体"/>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39638FDB">
            <w:pPr>
              <w:rPr>
                <w:rFonts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2448543"/>
        </w:tc>
        <w:tc>
          <w:tcPr>
            <w:tcW w:w="2101" w:type="dxa"/>
            <w:tcBorders>
              <w:top w:val="single" w:color="auto" w:sz="4" w:space="0"/>
              <w:left w:val="single" w:color="auto" w:sz="4" w:space="0"/>
              <w:bottom w:val="single" w:color="auto" w:sz="4" w:space="0"/>
              <w:right w:val="single" w:color="auto" w:sz="4" w:space="0"/>
            </w:tcBorders>
          </w:tcPr>
          <w:p w14:paraId="47F722AC">
            <w:pPr>
              <w:rPr>
                <w:rFonts w:eastAsia="宋体"/>
                <w:lang w:val="en-US" w:eastAsia="zh-CN"/>
              </w:rPr>
            </w:pPr>
          </w:p>
        </w:tc>
      </w:tr>
    </w:tbl>
    <w:p w14:paraId="16479DFB"/>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DDC9B70">
      <w:pPr>
        <w:rPr>
          <w:rFonts w:eastAsia="宋体"/>
          <w:lang w:val="en-US" w:eastAsia="zh-CN"/>
        </w:rPr>
      </w:pPr>
      <w:r>
        <w:rPr>
          <w:rFonts w:eastAsia="宋体"/>
          <w:lang w:eastAsia="zh-CN"/>
        </w:rPr>
        <w:t xml:space="preserve">Liu, Yue, China Mobile, </w:t>
      </w:r>
      <w:r>
        <w:fldChar w:fldCharType="begin"/>
      </w:r>
      <w:r>
        <w:instrText xml:space="preserve"> HYPERLINK "mailto:liuyueyjy@chinamobile.com" </w:instrText>
      </w:r>
      <w:r>
        <w:fldChar w:fldCharType="separate"/>
      </w:r>
      <w:r>
        <w:rPr>
          <w:rStyle w:val="19"/>
          <w:rFonts w:eastAsia="宋体"/>
          <w:lang w:eastAsia="zh-CN"/>
        </w:rPr>
        <w:t>liuyueyjy@chinamobile.com</w:t>
      </w:r>
      <w:r>
        <w:rPr>
          <w:rStyle w:val="19"/>
          <w:rFonts w:eastAsia="宋体"/>
          <w:lang w:eastAsia="zh-CN"/>
        </w:rPr>
        <w:fldChar w:fldCharType="end"/>
      </w: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0B85ED0">
      <w:r>
        <w:rPr>
          <w:rFonts w:hint="eastAsia"/>
          <w:lang w:eastAsia="zh-CN"/>
        </w:rPr>
        <w:t>SA6</w:t>
      </w:r>
    </w:p>
    <w:p w14:paraId="4E473F3B"/>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504B487">
      <w:pPr>
        <w:rPr>
          <w:lang w:val="en-US" w:eastAsia="zh-CN"/>
        </w:rPr>
      </w:pPr>
      <w:r>
        <w:rPr>
          <w:rFonts w:hint="eastAsia"/>
          <w:lang w:val="en-US" w:eastAsia="zh-CN"/>
        </w:rPr>
        <w:t>SA2 for</w:t>
      </w:r>
      <w:r>
        <w:rPr>
          <w:rFonts w:hint="eastAsia"/>
          <w:lang w:eastAsia="zh-CN"/>
        </w:rPr>
        <w:t xml:space="preserve"> </w:t>
      </w:r>
      <w:r>
        <w:rPr>
          <w:rFonts w:hint="eastAsia"/>
          <w:lang w:val="en-US" w:eastAsia="zh-CN"/>
        </w:rPr>
        <w:t>3GPP</w:t>
      </w:r>
      <w:r>
        <w:rPr>
          <w:rFonts w:hint="eastAsia"/>
          <w:lang w:eastAsia="zh-CN"/>
        </w:rPr>
        <w:t xml:space="preserve"> system</w:t>
      </w:r>
      <w:r>
        <w:rPr>
          <w:rFonts w:hint="eastAsia"/>
          <w:lang w:val="en-US" w:eastAsia="zh-CN"/>
        </w:rPr>
        <w:t>s</w:t>
      </w:r>
      <w:r>
        <w:rPr>
          <w:rFonts w:hint="eastAsia"/>
          <w:lang w:eastAsia="zh-CN"/>
        </w:rPr>
        <w:t xml:space="preserve"> </w:t>
      </w:r>
      <w:r>
        <w:rPr>
          <w:rFonts w:hint="eastAsia"/>
          <w:lang w:val="en-US" w:eastAsia="zh-CN"/>
        </w:rPr>
        <w:t>aspect</w:t>
      </w:r>
    </w:p>
    <w:p w14:paraId="1D6A0419">
      <w:pPr>
        <w:rPr>
          <w:lang w:eastAsia="zh-CN"/>
        </w:rPr>
      </w:pPr>
      <w:r>
        <w:rPr>
          <w:rFonts w:hint="eastAsia"/>
          <w:lang w:val="en-US" w:eastAsia="zh-CN"/>
        </w:rPr>
        <w:t>SA3 for s</w:t>
      </w:r>
      <w:r>
        <w:rPr>
          <w:rFonts w:hint="eastAsia"/>
          <w:lang w:eastAsia="zh-CN"/>
        </w:rPr>
        <w:t xml:space="preserve">ecurity </w:t>
      </w:r>
      <w:r>
        <w:rPr>
          <w:rFonts w:hint="eastAsia"/>
          <w:lang w:val="en-US" w:eastAsia="zh-CN"/>
        </w:rPr>
        <w:t xml:space="preserve">and privacy </w:t>
      </w:r>
      <w:r>
        <w:rPr>
          <w:rFonts w:hint="eastAsia"/>
          <w:lang w:eastAsia="zh-CN"/>
        </w:rPr>
        <w:t>aspects</w:t>
      </w:r>
    </w:p>
    <w:p w14:paraId="5BAF4381">
      <w:pPr>
        <w:rPr>
          <w:rFonts w:eastAsia="宋体"/>
          <w:lang w:val="en-US" w:eastAsia="zh-CN"/>
        </w:rPr>
      </w:pPr>
      <w:r>
        <w:rPr>
          <w:color w:val="000000"/>
          <w:lang w:eastAsia="ja-JP"/>
        </w:rPr>
        <w:t xml:space="preserve">SA5 for the </w:t>
      </w:r>
      <w:r>
        <w:rPr>
          <w:rFonts w:hint="eastAsia" w:eastAsia="宋体"/>
          <w:color w:val="000000"/>
          <w:lang w:val="en-US" w:eastAsia="zh-CN"/>
        </w:rPr>
        <w:t>potential c</w:t>
      </w:r>
      <w:r>
        <w:rPr>
          <w:color w:val="000000"/>
          <w:lang w:eastAsia="ja-JP"/>
        </w:rPr>
        <w:t xml:space="preserve">harging </w:t>
      </w:r>
      <w:r>
        <w:rPr>
          <w:rFonts w:hint="eastAsia"/>
          <w:color w:val="000000"/>
          <w:lang w:eastAsia="zh-CN"/>
        </w:rPr>
        <w:t xml:space="preserve">and OAM </w:t>
      </w:r>
      <w:r>
        <w:rPr>
          <w:rFonts w:hint="eastAsia"/>
          <w:color w:val="000000"/>
          <w:lang w:eastAsia="ja-JP"/>
        </w:rPr>
        <w:t>a</w:t>
      </w:r>
      <w:r>
        <w:rPr>
          <w:color w:val="000000"/>
          <w:lang w:eastAsia="ja-JP"/>
        </w:rPr>
        <w:t>spect</w:t>
      </w:r>
      <w:r>
        <w:rPr>
          <w:rFonts w:hint="eastAsia" w:eastAsia="宋体"/>
          <w:color w:val="000000"/>
          <w:lang w:val="en-US" w:eastAsia="zh-CN"/>
        </w:rPr>
        <w:t>s</w:t>
      </w:r>
    </w:p>
    <w:p w14:paraId="64640D29"/>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pPr>
            <w: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57A26624">
            <w:pPr>
              <w:pStyle w:val="28"/>
              <w:rPr>
                <w:lang w:eastAsia="zh-CN"/>
              </w:rPr>
            </w:pPr>
            <w:r>
              <w:rPr>
                <w:rFonts w:hint="eastAsia"/>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22DF3EE4">
            <w:pPr>
              <w:pStyle w:val="28"/>
              <w:rPr>
                <w:rFonts w:eastAsia="宋体"/>
                <w:lang w:val="en-US" w:eastAsia="zh-CN"/>
              </w:rPr>
            </w:pPr>
            <w:r>
              <w:t>Huawei</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756C1B37">
            <w:pPr>
              <w:pStyle w:val="28"/>
              <w:rPr>
                <w:rFonts w:eastAsia="宋体"/>
                <w:lang w:val="en-US" w:eastAsia="zh-CN"/>
              </w:rPr>
            </w:pPr>
            <w:r>
              <w:t>Hisilicon</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tcPr>
          <w:p w14:paraId="3E12BF04">
            <w:pPr>
              <w:pStyle w:val="28"/>
              <w:rPr>
                <w:lang w:val="en-US" w:eastAsia="zh-CN"/>
              </w:rPr>
            </w:pPr>
            <w:r>
              <w:rPr>
                <w:rFonts w:hint="eastAsia"/>
                <w:lang w:eastAsia="zh-CN"/>
              </w:rPr>
              <w:t>C</w:t>
            </w:r>
            <w:r>
              <w:rPr>
                <w:lang w:eastAsia="zh-CN"/>
              </w:rPr>
              <w:t>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9F08EB">
            <w:pPr>
              <w:pStyle w:val="28"/>
              <w:rPr>
                <w:lang w:val="en-US" w:eastAsia="zh-CN"/>
              </w:rPr>
            </w:pPr>
            <w:r>
              <w:rPr>
                <w:rFonts w:hint="eastAsia"/>
                <w:lang w:eastAsia="zh-CN"/>
              </w:rPr>
              <w:t>Z</w:t>
            </w:r>
            <w:r>
              <w:rPr>
                <w:lang w:eastAsia="zh-CN"/>
              </w:rPr>
              <w:t>TE</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CC45E">
            <w:pPr>
              <w:pStyle w:val="28"/>
              <w:rPr>
                <w:rFonts w:eastAsia="宋体"/>
                <w:lang w:val="en-US" w:eastAsia="zh-CN"/>
              </w:rPr>
            </w:pPr>
            <w:r>
              <w:t>China Telecom</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0EAD3A">
            <w:pPr>
              <w:pStyle w:val="28"/>
              <w:rPr>
                <w:rFonts w:eastAsia="宋体"/>
                <w:lang w:val="en-US" w:eastAsia="zh-CN"/>
              </w:rPr>
            </w:pPr>
            <w:r>
              <w:t>China Unicom</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C86FEF">
            <w:pPr>
              <w:pStyle w:val="28"/>
              <w:rPr>
                <w:rFonts w:eastAsia="宋体"/>
                <w:lang w:val="en-US" w:eastAsia="zh-CN"/>
              </w:rPr>
            </w:pPr>
            <w:r>
              <w:rPr>
                <w:rFonts w:hint="eastAsia"/>
              </w:rPr>
              <w:t>L</w:t>
            </w:r>
            <w:r>
              <w:t>enovo</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C35C7DB">
            <w:pPr>
              <w:pStyle w:val="28"/>
              <w:rPr>
                <w:lang w:val="en-US" w:eastAsia="zh-CN"/>
              </w:rPr>
            </w:pPr>
            <w:r>
              <w:rPr>
                <w:rFonts w:hint="eastAsia"/>
                <w:lang w:val="en-US" w:eastAsia="zh-CN"/>
              </w:rPr>
              <w:t>AT&amp;T</w:t>
            </w:r>
          </w:p>
        </w:tc>
      </w:tr>
      <w:tr w14:paraId="2B56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00CD0E0">
            <w:pPr>
              <w:pStyle w:val="28"/>
              <w:rPr>
                <w:rFonts w:eastAsia="宋体"/>
                <w:lang w:val="en-US" w:eastAsia="zh-CN"/>
              </w:rPr>
            </w:pPr>
            <w:r>
              <w:rPr>
                <w:rFonts w:hint="eastAsia" w:eastAsia="宋体"/>
                <w:lang w:val="en-US" w:eastAsia="zh-CN"/>
              </w:rPr>
              <w:t>ETRI</w:t>
            </w:r>
          </w:p>
        </w:tc>
      </w:tr>
      <w:tr w14:paraId="67B1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486F3841">
            <w:pPr>
              <w:pStyle w:val="28"/>
              <w:rPr>
                <w:rFonts w:eastAsia="宋体"/>
                <w:lang w:val="en-US" w:eastAsia="zh-CN"/>
              </w:rPr>
            </w:pPr>
            <w:r>
              <w:rPr>
                <w:rFonts w:hint="eastAsia" w:eastAsia="宋体"/>
                <w:lang w:val="en-US" w:eastAsia="zh-CN"/>
              </w:rPr>
              <w:t>Uangel</w:t>
            </w:r>
          </w:p>
        </w:tc>
      </w:tr>
      <w:tr w14:paraId="3D34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91E036F">
            <w:pPr>
              <w:pStyle w:val="28"/>
              <w:rPr>
                <w:rFonts w:eastAsia="宋体"/>
                <w:lang w:val="en-US" w:eastAsia="zh-CN"/>
              </w:rPr>
            </w:pPr>
            <w:r>
              <w:rPr>
                <w:rFonts w:cs="Arial"/>
                <w:bCs/>
                <w:szCs w:val="18"/>
              </w:rPr>
              <w:t>InterDigital</w:t>
            </w:r>
          </w:p>
        </w:tc>
      </w:tr>
    </w:tbl>
    <w:p w14:paraId="2E8C4F0C"/>
    <w:p w14:paraId="135ED6D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701">
    <w15:presenceInfo w15:providerId="None" w15:userId="LiuYue25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176B"/>
    <w:rsid w:val="00AF4118"/>
    <w:rsid w:val="00B00077"/>
    <w:rsid w:val="00B0194A"/>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 w:val="140263D0"/>
    <w:rsid w:val="1E3F77AE"/>
    <w:rsid w:val="1F07635D"/>
    <w:rsid w:val="29CC1E22"/>
    <w:rsid w:val="32D02B4F"/>
    <w:rsid w:val="45D075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toc 8"/>
    <w:basedOn w:val="1"/>
    <w:next w:val="1"/>
    <w:autoRedefine/>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semiHidden/>
    <w:qFormat/>
    <w:uiPriority w:val="0"/>
    <w:pPr>
      <w:keepLines/>
    </w:pPr>
  </w:style>
  <w:style w:type="character" w:styleId="18">
    <w:name w:val="page number"/>
    <w:basedOn w:val="17"/>
    <w:qFormat/>
    <w:uiPriority w:val="0"/>
  </w:style>
  <w:style w:type="character" w:styleId="19">
    <w:name w:val="Hyperlink"/>
    <w:basedOn w:val="17"/>
    <w:qFormat/>
    <w:uiPriority w:val="0"/>
    <w:rPr>
      <w:color w:val="0563C1" w:themeColor="hyperlink"/>
      <w:u w:val="single"/>
      <w14:textFill>
        <w14:solidFill>
          <w14:schemeClr w14:val="hlink"/>
        </w14:solidFill>
      </w14:textFill>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B2"/>
    <w:basedOn w:val="9"/>
    <w:qFormat/>
    <w:uiPriority w:val="0"/>
  </w:style>
  <w:style w:type="paragraph" w:customStyle="1" w:styleId="35">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6414</Characters>
  <Lines>53</Lines>
  <Paragraphs>15</Paragraphs>
  <TotalTime>3</TotalTime>
  <ScaleCrop>false</ScaleCrop>
  <LinksUpToDate>false</LinksUpToDate>
  <CharactersWithSpaces>7524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LiuYue250801</cp:lastModifiedBy>
  <cp:lastPrinted>2001-04-23T09:30:00Z</cp:lastPrinted>
  <dcterms:modified xsi:type="dcterms:W3CDTF">2025-08-18T08:19:44Z</dcterms:modified>
  <dc:title>Source: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49E01088BA9A4E5B8089EBF0E25D9279_13</vt:lpwstr>
  </property>
</Properties>
</file>